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000" w:type="pct"/>
        <w:tblLook w:val="04A0"/>
      </w:tblPr>
      <w:tblGrid>
        <w:gridCol w:w="3261"/>
        <w:gridCol w:w="6591"/>
      </w:tblGrid>
      <w:tr w:rsidR="00C050A4" w:rsidRPr="00C050A4" w:rsidTr="00C050A4">
        <w:tc>
          <w:tcPr>
            <w:tcW w:w="5000" w:type="pct"/>
            <w:gridSpan w:val="2"/>
          </w:tcPr>
          <w:p w:rsidR="00C050A4" w:rsidRPr="00C050A4" w:rsidRDefault="00C050A4" w:rsidP="00C050A4">
            <w:pPr>
              <w:spacing w:before="240" w:after="240"/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</w:pPr>
            <w:bookmarkStart w:id="0" w:name="bookmark1"/>
            <w:proofErr w:type="spellStart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>Проблемные</w:t>
            </w:r>
            <w:proofErr w:type="spellEnd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>статьи</w:t>
            </w:r>
            <w:proofErr w:type="spellEnd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 xml:space="preserve"> и </w:t>
            </w:r>
            <w:proofErr w:type="spellStart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>обзоры</w:t>
            </w:r>
            <w:proofErr w:type="spellEnd"/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Сурмач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М.Ю.</w:t>
            </w:r>
          </w:p>
        </w:tc>
        <w:tc>
          <w:tcPr>
            <w:tcW w:w="3345" w:type="pct"/>
          </w:tcPr>
          <w:p w:rsidR="00C050A4" w:rsidRPr="00C050A4" w:rsidRDefault="005D773E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hyperlink r:id="rId6" w:history="1">
              <w:r w:rsidR="00C050A4" w:rsidRPr="005D773E">
                <w:rPr>
                  <w:rStyle w:val="a3"/>
                  <w:rFonts w:ascii="Times New Roman" w:hAnsi="Times New Roman" w:cs="Times New Roman"/>
                </w:rPr>
                <w:t xml:space="preserve">Историческая трансформация модели белорусского здравоохранения.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Часть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I: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от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начала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XX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века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до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настоящего</w:t>
              </w:r>
              <w:proofErr w:type="spellEnd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050A4" w:rsidRPr="005D773E">
                <w:rPr>
                  <w:rStyle w:val="a3"/>
                  <w:rFonts w:ascii="Times New Roman" w:hAnsi="Times New Roman" w:cs="Times New Roman"/>
                  <w:lang w:val="en-US"/>
                </w:rPr>
                <w:t>времени</w:t>
              </w:r>
              <w:proofErr w:type="spellEnd"/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D004BA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Гелда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А.П. </w:t>
            </w:r>
          </w:p>
        </w:tc>
        <w:tc>
          <w:tcPr>
            <w:tcW w:w="3345" w:type="pct"/>
          </w:tcPr>
          <w:p w:rsidR="00C050A4" w:rsidRPr="00C050A4" w:rsidRDefault="005D773E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7" w:history="1">
              <w:r w:rsidR="00C050A4" w:rsidRPr="005D773E">
                <w:rPr>
                  <w:rStyle w:val="a3"/>
                  <w:rFonts w:ascii="Times New Roman" w:hAnsi="Times New Roman" w:cs="Times New Roman"/>
                </w:rPr>
                <w:t>Причинные факторы и мотивация суицидального поведения в детско-подростковом возрасте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7D4203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Попов А.С., Романова А.П. </w:t>
            </w:r>
          </w:p>
        </w:tc>
        <w:tc>
          <w:tcPr>
            <w:tcW w:w="3345" w:type="pct"/>
          </w:tcPr>
          <w:p w:rsidR="00C050A4" w:rsidRPr="00C050A4" w:rsidRDefault="005D773E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8" w:history="1">
              <w:r w:rsidR="00C050A4" w:rsidRPr="005D773E">
                <w:rPr>
                  <w:rStyle w:val="a3"/>
                  <w:rFonts w:ascii="Times New Roman" w:hAnsi="Times New Roman" w:cs="Times New Roman"/>
                </w:rPr>
                <w:t>Экономические мотивы трудового поведения выездного персонала бригад скорой медицинской помощи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6A0649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Бойко С.Л.,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Сурмач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М.Ю. </w:t>
            </w:r>
          </w:p>
        </w:tc>
        <w:tc>
          <w:tcPr>
            <w:tcW w:w="3345" w:type="pct"/>
          </w:tcPr>
          <w:p w:rsidR="00C050A4" w:rsidRPr="00C050A4" w:rsidRDefault="005D773E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9" w:history="1">
              <w:r w:rsidR="00C050A4" w:rsidRPr="005D773E">
                <w:rPr>
                  <w:rStyle w:val="a3"/>
                  <w:rFonts w:ascii="Times New Roman" w:hAnsi="Times New Roman" w:cs="Times New Roman"/>
                </w:rPr>
                <w:t>Возможности и границы применения социологических методов для оценки коррупционной среды</w:t>
              </w:r>
            </w:hyperlink>
          </w:p>
        </w:tc>
      </w:tr>
      <w:tr w:rsidR="00C050A4" w:rsidRPr="00C050A4" w:rsidTr="00C050A4">
        <w:tc>
          <w:tcPr>
            <w:tcW w:w="5000" w:type="pct"/>
            <w:gridSpan w:val="2"/>
          </w:tcPr>
          <w:p w:rsidR="00C050A4" w:rsidRPr="00C050A4" w:rsidRDefault="00C050A4" w:rsidP="002D5F1E">
            <w:pPr>
              <w:spacing w:before="240" w:after="240"/>
              <w:rPr>
                <w:rStyle w:val="41"/>
                <w:rFonts w:eastAsia="Arial Unicode MS"/>
                <w:b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b/>
                <w:sz w:val="24"/>
                <w:szCs w:val="24"/>
                <w:u w:val="none"/>
              </w:rPr>
              <w:t xml:space="preserve">Научные исследования </w:t>
            </w:r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475893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Смычек В.Б., Богданович А.И.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0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Динамика показателей заболеваемости и первичной инвалидности детей по классам болезней нервной системы и психических расстройств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08731D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Рожко В.А.,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Шаршакова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</w:t>
            </w: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T</w:t>
            </w: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.</w:t>
            </w: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M</w:t>
            </w: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.,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Веялкин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И.В., Данилова Л.И.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1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 xml:space="preserve">Особенности формирования первичной заболеваемости </w:t>
              </w:r>
              <w:proofErr w:type="gramStart"/>
              <w:r w:rsidR="00C050A4" w:rsidRPr="005E4166">
                <w:rPr>
                  <w:rStyle w:val="a3"/>
                  <w:rFonts w:ascii="Times New Roman" w:hAnsi="Times New Roman" w:cs="Times New Roman"/>
                </w:rPr>
                <w:t>аутоиммунным</w:t>
              </w:r>
              <w:proofErr w:type="gramEnd"/>
              <w:r w:rsidR="00C050A4" w:rsidRPr="005E4166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C050A4" w:rsidRPr="005E4166">
                <w:rPr>
                  <w:rStyle w:val="a3"/>
                  <w:rFonts w:ascii="Times New Roman" w:hAnsi="Times New Roman" w:cs="Times New Roman"/>
                </w:rPr>
                <w:t>тироидитом</w:t>
              </w:r>
              <w:proofErr w:type="spellEnd"/>
              <w:r w:rsidR="00C050A4" w:rsidRPr="005E4166">
                <w:rPr>
                  <w:rStyle w:val="a3"/>
                  <w:rFonts w:ascii="Times New Roman" w:hAnsi="Times New Roman" w:cs="Times New Roman"/>
                </w:rPr>
                <w:t xml:space="preserve"> в Республике Беларусь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BD6975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Томчик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Н.В., Ляликов С.А.,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Луканская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И.Э.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2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Взаимосвязь малых аномалий сердца и синдрома внезапной сердечной смерти у детей. Возможность прогнозирования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C11746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Смычек В.Б.,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Разуванов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А.И., Чумакова Т.В.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3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О разработке перечня профессий для трудовой занятости пациентов с имплантированными суставами нижних конечностей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F21B97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Шилова О.В.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4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Врачи психиатры-наркологи Республики Беларусь: удовлетворенность профессиональной деятельностью и миграционные риски</w:t>
              </w:r>
            </w:hyperlink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BD3AC5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Луцкая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И.К.,.Есьман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А.А, </w:t>
            </w: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Тяшкевич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Л.Н.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5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 xml:space="preserve">Анализ совместной деятельности клинической организации здравоохранения и кафедры </w:t>
              </w:r>
              <w:proofErr w:type="spellStart"/>
              <w:r w:rsidR="00C050A4" w:rsidRPr="005E4166">
                <w:rPr>
                  <w:rStyle w:val="a3"/>
                  <w:rFonts w:ascii="Times New Roman" w:hAnsi="Times New Roman" w:cs="Times New Roman"/>
                </w:rPr>
                <w:t>БелМАПО</w:t>
              </w:r>
              <w:proofErr w:type="spellEnd"/>
            </w:hyperlink>
          </w:p>
        </w:tc>
      </w:tr>
      <w:tr w:rsidR="00C050A4" w:rsidRPr="00C050A4" w:rsidTr="00C050A4">
        <w:tc>
          <w:tcPr>
            <w:tcW w:w="5000" w:type="pct"/>
            <w:gridSpan w:val="2"/>
          </w:tcPr>
          <w:p w:rsidR="00C050A4" w:rsidRPr="00C050A4" w:rsidRDefault="00C050A4" w:rsidP="002D5F1E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C050A4"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r w:rsidRPr="00C050A4">
              <w:rPr>
                <w:rFonts w:ascii="Times New Roman" w:hAnsi="Times New Roman" w:cs="Times New Roman"/>
                <w:b/>
              </w:rPr>
              <w:t>медииины</w:t>
            </w:r>
            <w:proofErr w:type="spellEnd"/>
            <w:r w:rsidRPr="00C050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F56ECA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proofErr w:type="spellStart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>Пилипцевич</w:t>
            </w:r>
            <w:proofErr w:type="spellEnd"/>
            <w:r w:rsidRPr="00C050A4">
              <w:rPr>
                <w:rStyle w:val="41"/>
                <w:rFonts w:eastAsia="Arial Unicode MS"/>
                <w:sz w:val="24"/>
                <w:szCs w:val="24"/>
                <w:u w:val="none"/>
              </w:rPr>
              <w:t xml:space="preserve"> H.H. </w:t>
            </w: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6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Медицинская полиция в Российской империи XVIII-XIX веков</w:t>
              </w:r>
            </w:hyperlink>
          </w:p>
        </w:tc>
      </w:tr>
      <w:tr w:rsidR="00C050A4" w:rsidRPr="00C050A4" w:rsidTr="00C050A4">
        <w:tc>
          <w:tcPr>
            <w:tcW w:w="5000" w:type="pct"/>
            <w:gridSpan w:val="2"/>
          </w:tcPr>
          <w:p w:rsidR="00C050A4" w:rsidRPr="00C050A4" w:rsidRDefault="00C050A4" w:rsidP="002D5F1E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C050A4">
              <w:rPr>
                <w:rFonts w:ascii="Times New Roman" w:hAnsi="Times New Roman" w:cs="Times New Roman"/>
                <w:b/>
              </w:rPr>
              <w:t xml:space="preserve">Мониторинг </w:t>
            </w:r>
            <w:proofErr w:type="spellStart"/>
            <w:r w:rsidRPr="00C050A4">
              <w:rPr>
                <w:rFonts w:ascii="Times New Roman" w:hAnsi="Times New Roman" w:cs="Times New Roman"/>
                <w:b/>
              </w:rPr>
              <w:t>наииональной</w:t>
            </w:r>
            <w:proofErr w:type="spellEnd"/>
            <w:r w:rsidRPr="00C050A4">
              <w:rPr>
                <w:rFonts w:ascii="Times New Roman" w:hAnsi="Times New Roman" w:cs="Times New Roman"/>
                <w:b/>
              </w:rPr>
              <w:t xml:space="preserve"> правовой базы по здравоохранению </w:t>
            </w:r>
          </w:p>
        </w:tc>
      </w:tr>
      <w:tr w:rsidR="00C050A4" w:rsidRPr="00C050A4" w:rsidTr="00C050A4">
        <w:tc>
          <w:tcPr>
            <w:tcW w:w="1655" w:type="pct"/>
          </w:tcPr>
          <w:p w:rsidR="00C050A4" w:rsidRPr="00C050A4" w:rsidRDefault="00C050A4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</w:p>
        </w:tc>
        <w:tc>
          <w:tcPr>
            <w:tcW w:w="3345" w:type="pct"/>
          </w:tcPr>
          <w:p w:rsidR="00C050A4" w:rsidRPr="00C050A4" w:rsidRDefault="005E4166" w:rsidP="002D5F1E">
            <w:pPr>
              <w:rPr>
                <w:rStyle w:val="41"/>
                <w:rFonts w:eastAsia="Arial Unicode MS"/>
                <w:sz w:val="24"/>
                <w:szCs w:val="24"/>
                <w:u w:val="none"/>
              </w:rPr>
            </w:pPr>
            <w:hyperlink r:id="rId17" w:history="1">
              <w:r w:rsidR="00C050A4" w:rsidRPr="005E4166">
                <w:rPr>
                  <w:rStyle w:val="a3"/>
                  <w:rFonts w:ascii="Times New Roman" w:hAnsi="Times New Roman" w:cs="Times New Roman"/>
                </w:rPr>
                <w:t>Нормативно-правовое регулирование оказания медицинской помощи и обеспечения санитарн</w:t>
              </w:r>
              <w:proofErr w:type="gramStart"/>
              <w:r w:rsidR="00C050A4" w:rsidRPr="005E4166">
                <w:rPr>
                  <w:rStyle w:val="a3"/>
                  <w:rFonts w:ascii="Times New Roman" w:hAnsi="Times New Roman" w:cs="Times New Roman"/>
                </w:rPr>
                <w:t>о-</w:t>
              </w:r>
              <w:proofErr w:type="gramEnd"/>
              <w:r w:rsidR="00C050A4" w:rsidRPr="005E4166">
                <w:rPr>
                  <w:rStyle w:val="a3"/>
                  <w:rFonts w:ascii="Times New Roman" w:hAnsi="Times New Roman" w:cs="Times New Roman"/>
                </w:rPr>
                <w:t xml:space="preserve"> эпидемиологического благополучия населения (март 2019 г. - май 2019 г.)</w:t>
              </w:r>
            </w:hyperlink>
          </w:p>
        </w:tc>
      </w:tr>
    </w:tbl>
    <w:p w:rsidR="001A773F" w:rsidRPr="005E4166" w:rsidRDefault="002539A5" w:rsidP="00E4751C">
      <w:pPr>
        <w:spacing w:before="240" w:after="240"/>
        <w:rPr>
          <w:rFonts w:ascii="Times New Roman" w:hAnsi="Times New Roman" w:cs="Times New Roman"/>
          <w:b/>
        </w:rPr>
      </w:pPr>
      <w:r w:rsidRPr="00C050A4">
        <w:rPr>
          <w:rStyle w:val="41"/>
          <w:rFonts w:eastAsia="Arial Unicode MS"/>
          <w:sz w:val="24"/>
          <w:szCs w:val="24"/>
          <w:u w:val="none"/>
        </w:rPr>
        <w:br w:type="page"/>
      </w:r>
      <w:r w:rsidR="00E4751C" w:rsidRPr="00C050A4"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Style w:val="ab"/>
        <w:tblW w:w="5000" w:type="pct"/>
        <w:tblLook w:val="04A0"/>
      </w:tblPr>
      <w:tblGrid>
        <w:gridCol w:w="3123"/>
        <w:gridCol w:w="6729"/>
      </w:tblGrid>
      <w:tr w:rsidR="00E821B3" w:rsidRPr="001A773F" w:rsidTr="00E821B3">
        <w:tc>
          <w:tcPr>
            <w:tcW w:w="5000" w:type="pct"/>
            <w:gridSpan w:val="2"/>
          </w:tcPr>
          <w:p w:rsidR="00E821B3" w:rsidRPr="001A773F" w:rsidRDefault="00E821B3" w:rsidP="00F50FA9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1A773F">
              <w:rPr>
                <w:rFonts w:ascii="Times New Roman" w:hAnsi="Times New Roman" w:cs="Times New Roman"/>
                <w:b/>
                <w:lang w:val="en-US"/>
              </w:rPr>
              <w:t>Problem Articles and Reviews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Surmach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M.Yu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Historical Transformation of Belarusian Healthcare Model. Part I: From the Beginning of the 20th Century to the Present Time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Gelda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A.P.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Causative Factors and Motivation for Children and Adolescents' Suicidal Behavior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Popov A.S.,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Romanova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А.Р.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Economic Motives of Labor Behavior of Ambulance Team Field Staff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Boyko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S.L.,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Surmach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M.Yu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Opportunities and Limitations for Using of Sociological Methods for Corruption Environment Evaluation</w:t>
            </w:r>
          </w:p>
        </w:tc>
      </w:tr>
      <w:tr w:rsidR="00485000" w:rsidRPr="001A773F" w:rsidTr="00485000">
        <w:tc>
          <w:tcPr>
            <w:tcW w:w="5000" w:type="pct"/>
            <w:gridSpan w:val="2"/>
          </w:tcPr>
          <w:p w:rsidR="00485000" w:rsidRPr="001A773F" w:rsidRDefault="00485000" w:rsidP="00F50FA9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1A773F">
              <w:rPr>
                <w:rFonts w:ascii="Times New Roman" w:hAnsi="Times New Roman" w:cs="Times New Roman"/>
                <w:b/>
                <w:lang w:val="en-US"/>
              </w:rPr>
              <w:t>Scientific Research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Smychyok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V.B.,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Bogdanovich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A.I.</w:t>
            </w:r>
          </w:p>
        </w:tc>
        <w:tc>
          <w:tcPr>
            <w:tcW w:w="3415" w:type="pct"/>
          </w:tcPr>
          <w:p w:rsidR="001A773F" w:rsidRPr="001A773F" w:rsidRDefault="001A773F" w:rsidP="001A773F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Dynamics of Indicators of Morbidity and Primary Disability of Children in Classes of Diseases of Nervous System and Mental Disorders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Rozhko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V.A.,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Sharshakova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T.M.,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Veyalkin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I.V., Danilova L.I.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Incidence Rates of Autoimmune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Thyroiditis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in Regions of the Republic of Belarus: Formation Features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Tomchyk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N.V.,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Lyalikov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S.A.,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Lukanskaya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I.E.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Relationship between Minor Heart Anomalies and Sudden Cardiac Death in Children. Prognosis Possibility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1A773F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Smychyok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V.B.,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Razuvanau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A.I.,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Chumakova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T.V.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To Elaboration of List of Professions for Employment of Patients with Implanted Joints of Lower Extremities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Shilova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O.V.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Physicians-psychiatrists-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narcologists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of the Republic of Belarus: Job Satisfaction and Migration Risks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Lutskaya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I.K.,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Esman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A.A., 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Tyszkiewicz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L.N.</w:t>
            </w:r>
          </w:p>
        </w:tc>
        <w:tc>
          <w:tcPr>
            <w:tcW w:w="341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Analysis of Joint Activities of Clinical Healthcare Institution and Department of Belarusian Medical Academy of Post-Graduate Education (</w:t>
            </w: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BelMAPE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)</w:t>
            </w:r>
          </w:p>
        </w:tc>
      </w:tr>
      <w:tr w:rsidR="00485000" w:rsidRPr="001A773F" w:rsidTr="00485000">
        <w:tc>
          <w:tcPr>
            <w:tcW w:w="5000" w:type="pct"/>
            <w:gridSpan w:val="2"/>
          </w:tcPr>
          <w:p w:rsidR="00485000" w:rsidRPr="001A773F" w:rsidRDefault="00485000" w:rsidP="00F50FA9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1A773F">
              <w:rPr>
                <w:rFonts w:ascii="Times New Roman" w:hAnsi="Times New Roman" w:cs="Times New Roman"/>
                <w:b/>
                <w:lang w:val="en-US"/>
              </w:rPr>
              <w:t>History of Medicine</w:t>
            </w:r>
          </w:p>
        </w:tc>
      </w:tr>
      <w:tr w:rsidR="001A773F" w:rsidRP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proofErr w:type="spellStart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Piliptsevich</w:t>
            </w:r>
            <w:proofErr w:type="spellEnd"/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M.</w:t>
            </w: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M</w:t>
            </w:r>
            <w: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3415" w:type="pct"/>
          </w:tcPr>
          <w:p w:rsidR="001A773F" w:rsidRPr="001A773F" w:rsidRDefault="001A773F" w:rsidP="001A773F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 xml:space="preserve">Medical </w:t>
            </w: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Police in the Russian Empire in XVIII-XIX centuries</w:t>
            </w:r>
          </w:p>
        </w:tc>
      </w:tr>
      <w:tr w:rsidR="00485000" w:rsidRPr="001A773F" w:rsidTr="00485000">
        <w:tc>
          <w:tcPr>
            <w:tcW w:w="5000" w:type="pct"/>
            <w:gridSpan w:val="2"/>
          </w:tcPr>
          <w:p w:rsidR="00485000" w:rsidRPr="001A773F" w:rsidRDefault="00485000" w:rsidP="00F50FA9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1A773F">
              <w:rPr>
                <w:rFonts w:ascii="Times New Roman" w:hAnsi="Times New Roman" w:cs="Times New Roman"/>
                <w:b/>
                <w:lang w:val="en-US"/>
              </w:rPr>
              <w:t>Monitoring o f the National Health Legal Base</w:t>
            </w:r>
          </w:p>
        </w:tc>
      </w:tr>
      <w:tr w:rsidR="001A773F" w:rsidTr="001A773F">
        <w:tc>
          <w:tcPr>
            <w:tcW w:w="1585" w:type="pct"/>
          </w:tcPr>
          <w:p w:rsidR="001A773F" w:rsidRP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415" w:type="pct"/>
          </w:tcPr>
          <w:p w:rsidR="001A773F" w:rsidRDefault="001A773F" w:rsidP="00F50FA9">
            <w:pPr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</w:pPr>
            <w:r w:rsidRPr="001A773F">
              <w:rPr>
                <w:rStyle w:val="41"/>
                <w:rFonts w:eastAsia="Arial Unicode MS"/>
                <w:sz w:val="24"/>
                <w:szCs w:val="24"/>
                <w:u w:val="none"/>
                <w:lang w:val="en-US"/>
              </w:rPr>
              <w:t>Normative-Legal Regulation on Rendering Medical Care and Ensuring Sanitary-Epidemiologic Well-being of the Population (March 2019 - May 2019)</w:t>
            </w:r>
          </w:p>
        </w:tc>
      </w:tr>
      <w:bookmarkEnd w:id="0"/>
    </w:tbl>
    <w:p w:rsidR="00B27FE4" w:rsidRPr="002539A5" w:rsidRDefault="00B27FE4" w:rsidP="001A773F">
      <w:pPr>
        <w:pStyle w:val="3"/>
        <w:shd w:val="clear" w:color="auto" w:fill="auto"/>
        <w:tabs>
          <w:tab w:val="left" w:leader="dot" w:pos="8395"/>
        </w:tabs>
        <w:spacing w:before="0" w:after="0" w:line="240" w:lineRule="auto"/>
        <w:jc w:val="left"/>
        <w:rPr>
          <w:sz w:val="24"/>
          <w:szCs w:val="24"/>
          <w:lang w:val="en-US"/>
        </w:rPr>
      </w:pPr>
    </w:p>
    <w:sectPr w:rsidR="00B27FE4" w:rsidRPr="002539A5" w:rsidSect="002539A5">
      <w:pgSz w:w="11905" w:h="16837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DA" w:rsidRDefault="004D72DA" w:rsidP="00B27FE4">
      <w:r>
        <w:separator/>
      </w:r>
    </w:p>
  </w:endnote>
  <w:endnote w:type="continuationSeparator" w:id="0">
    <w:p w:rsidR="004D72DA" w:rsidRDefault="004D72DA" w:rsidP="00B2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DA" w:rsidRDefault="004D72DA"/>
  </w:footnote>
  <w:footnote w:type="continuationSeparator" w:id="0">
    <w:p w:rsidR="004D72DA" w:rsidRDefault="004D72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FE4"/>
    <w:rsid w:val="000F3D32"/>
    <w:rsid w:val="001A773F"/>
    <w:rsid w:val="002539A5"/>
    <w:rsid w:val="00446000"/>
    <w:rsid w:val="00485000"/>
    <w:rsid w:val="004D72DA"/>
    <w:rsid w:val="005D773E"/>
    <w:rsid w:val="005E4166"/>
    <w:rsid w:val="00790B57"/>
    <w:rsid w:val="009818CF"/>
    <w:rsid w:val="009F3B87"/>
    <w:rsid w:val="00A7348E"/>
    <w:rsid w:val="00B27FE4"/>
    <w:rsid w:val="00B95D09"/>
    <w:rsid w:val="00BD6B85"/>
    <w:rsid w:val="00C050A4"/>
    <w:rsid w:val="00C77944"/>
    <w:rsid w:val="00E4751C"/>
    <w:rsid w:val="00E62A60"/>
    <w:rsid w:val="00E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F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FE4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71">
    <w:name w:val="Основной текст (7)"/>
    <w:basedOn w:val="7"/>
    <w:rsid w:val="00B27FE4"/>
  </w:style>
  <w:style w:type="character" w:customStyle="1" w:styleId="1">
    <w:name w:val="Заголовок №1_"/>
    <w:basedOn w:val="a0"/>
    <w:link w:val="10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1">
    <w:name w:val="Заголовок №1"/>
    <w:basedOn w:val="1"/>
    <w:rsid w:val="00B27FE4"/>
    <w:rPr>
      <w:u w:val="single"/>
    </w:rPr>
  </w:style>
  <w:style w:type="character" w:customStyle="1" w:styleId="4">
    <w:name w:val="Заголовок №4_"/>
    <w:basedOn w:val="a0"/>
    <w:link w:val="40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sid w:val="00B27FE4"/>
    <w:rPr>
      <w:u w:val="single"/>
    </w:rPr>
  </w:style>
  <w:style w:type="character" w:customStyle="1" w:styleId="a4">
    <w:name w:val="Основной текст_"/>
    <w:basedOn w:val="a0"/>
    <w:link w:val="3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сновной текст + Курсив"/>
    <w:basedOn w:val="a4"/>
    <w:rsid w:val="00B27FE4"/>
    <w:rPr>
      <w:i/>
      <w:iCs/>
      <w:spacing w:val="0"/>
      <w:lang w:val="en-US"/>
    </w:rPr>
  </w:style>
  <w:style w:type="character" w:customStyle="1" w:styleId="12">
    <w:name w:val="Основной текст1"/>
    <w:basedOn w:val="a4"/>
    <w:rsid w:val="00B27FE4"/>
  </w:style>
  <w:style w:type="character" w:customStyle="1" w:styleId="a6">
    <w:name w:val="Оглавление_"/>
    <w:basedOn w:val="a0"/>
    <w:link w:val="a7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8">
    <w:name w:val="Оглавление"/>
    <w:basedOn w:val="a6"/>
    <w:rsid w:val="00B27FE4"/>
    <w:rPr>
      <w:lang w:val="en-US"/>
    </w:rPr>
  </w:style>
  <w:style w:type="character" w:customStyle="1" w:styleId="a9">
    <w:name w:val="Оглавление + Курсив"/>
    <w:basedOn w:val="a6"/>
    <w:rsid w:val="00B27FE4"/>
    <w:rPr>
      <w:i/>
      <w:iCs/>
      <w:spacing w:val="0"/>
    </w:rPr>
  </w:style>
  <w:style w:type="character" w:customStyle="1" w:styleId="2">
    <w:name w:val="Оглавление (2)_"/>
    <w:basedOn w:val="a0"/>
    <w:link w:val="20"/>
    <w:rsid w:val="00B27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">
    <w:name w:val="Оглавление (2)"/>
    <w:basedOn w:val="2"/>
    <w:rsid w:val="00B27FE4"/>
  </w:style>
  <w:style w:type="character" w:customStyle="1" w:styleId="22">
    <w:name w:val="Оглавление (2) + Не курсив"/>
    <w:basedOn w:val="2"/>
    <w:rsid w:val="00B27FE4"/>
    <w:rPr>
      <w:i/>
      <w:iCs/>
      <w:spacing w:val="0"/>
    </w:rPr>
  </w:style>
  <w:style w:type="character" w:customStyle="1" w:styleId="42">
    <w:name w:val="Заголовок №4"/>
    <w:basedOn w:val="4"/>
    <w:rsid w:val="00B27FE4"/>
    <w:rPr>
      <w:u w:val="single"/>
    </w:rPr>
  </w:style>
  <w:style w:type="character" w:customStyle="1" w:styleId="aa">
    <w:name w:val="Основной текст + Курсив"/>
    <w:basedOn w:val="a4"/>
    <w:rsid w:val="00B27FE4"/>
    <w:rPr>
      <w:i/>
      <w:iCs/>
      <w:spacing w:val="0"/>
      <w:lang w:val="en-US"/>
    </w:rPr>
  </w:style>
  <w:style w:type="character" w:customStyle="1" w:styleId="23">
    <w:name w:val="Основной текст2"/>
    <w:basedOn w:val="a4"/>
    <w:rsid w:val="00B27FE4"/>
  </w:style>
  <w:style w:type="paragraph" w:customStyle="1" w:styleId="70">
    <w:name w:val="Основной текст (7)"/>
    <w:basedOn w:val="a"/>
    <w:link w:val="7"/>
    <w:rsid w:val="00B27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10">
    <w:name w:val="Заголовок №1"/>
    <w:basedOn w:val="a"/>
    <w:link w:val="1"/>
    <w:rsid w:val="00B27FE4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0">
    <w:name w:val="Заголовок №4"/>
    <w:basedOn w:val="a"/>
    <w:link w:val="4"/>
    <w:rsid w:val="00B27FE4"/>
    <w:pPr>
      <w:shd w:val="clear" w:color="auto" w:fill="FFFFFF"/>
      <w:spacing w:before="780" w:after="180" w:line="288" w:lineRule="exac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">
    <w:name w:val="Основной текст3"/>
    <w:basedOn w:val="a"/>
    <w:link w:val="a4"/>
    <w:rsid w:val="00B27FE4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B27FE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B27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table" w:styleId="ab">
    <w:name w:val="Table Grid"/>
    <w:basedOn w:val="a1"/>
    <w:uiPriority w:val="59"/>
    <w:rsid w:val="00C0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19/N_2/1_&#1055;&#1088;&#1086;&#1073;&#1083;&#1077;&#1084;&#1085;&#1099;&#1077;_3_&#1055;&#1086;&#1087;&#1086;&#1074;&#1056;&#1086;&#1084;&#1072;&#1085;&#1086;&#1074;&#1072;_22-28.pdf" TargetMode="External"/><Relationship Id="rId13" Type="http://schemas.openxmlformats.org/officeDocument/2006/relationships/hyperlink" Target="http://rnpcmt.belcmt.by/files/Site/Journal_2019/N_2/2_&#1053;&#1072;&#1091;&#1095;&#1085;&#1099;&#1077;_4_&#1057;&#1084;&#1099;&#1095;&#1105;&#1082;&#1056;&#1072;&#1079;&#1091;&#1074;&#1072;&#1085;&#1086;&#1074;&#1063;&#1091;&#1084;&#1072;&#1082;&#1086;&#1074;&#1072;_60-66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19/N_2/1_&#1055;&#1088;&#1086;&#1073;&#1083;&#1077;&#1084;&#1085;&#1099;&#1077;_2_&#1043;&#1077;&#1083;&#1076;&#1072;_10-21.pdf" TargetMode="External"/><Relationship Id="rId12" Type="http://schemas.openxmlformats.org/officeDocument/2006/relationships/hyperlink" Target="http://rnpcmt.belcmt.by/files/Site/Journal_2019/N_2/2_&#1053;&#1072;&#1091;&#1095;&#1085;&#1099;&#1077;_3_&#1058;&#1086;&#1084;&#1095;&#1080;&#1082;&#1051;&#1103;&#1083;&#1080;&#1082;&#1086;&#1074;&#1051;&#1091;&#1082;&#1072;&#1085;&#1089;&#1082;&#1072;&#1103;_52-59.pdf" TargetMode="External"/><Relationship Id="rId17" Type="http://schemas.openxmlformats.org/officeDocument/2006/relationships/hyperlink" Target="http://rnpcmt.belcmt.by/files/Site/Journal_2019/N_2/4_Monitoring_2_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pcmt.belcmt.by/files/Site/Journal_2019/N_2/3_&#1048;&#1089;&#1090;&#1086;&#1088;&#1080;&#1103;_1_&#1055;&#1080;&#1083;&#1080;&#1087;&#1094;&#1077;&#1074;&#1080;&#1095;_81-8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19/N_2/1_&#1055;&#1088;&#1086;&#1073;&#1083;&#1077;&#1084;&#1085;&#1099;&#1077;_1_&#1057;&#1091;&#1088;&#1084;&#1072;&#1095;_4-9.pdf" TargetMode="External"/><Relationship Id="rId11" Type="http://schemas.openxmlformats.org/officeDocument/2006/relationships/hyperlink" Target="http://rnpcmt.belcmt.by/files/Site/Journal_2019/N_2/2_&#1053;&#1072;&#1091;&#1095;&#1085;&#1099;&#1077;_2_&#1056;&#1086;&#1078;&#1082;&#1086;&#1064;&#1072;&#1088;&#1096;&#1072;&#1082;&#1086;&#1074;&#1072;&#1042;&#1077;&#1103;&#1083;&#1082;&#1080;&#1085;&#1044;&#1072;&#1085;&#1080;&#1083;&#1086;&#1074;&#1072;_45-5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npcmt.belcmt.by/files/Site/Journal_2019/N_2/2_&#1053;&#1072;&#1091;&#1095;&#1085;&#1099;&#1077;_6_&#1051;&#1091;&#1094;&#1082;&#1072;&#1103;&#1045;&#1089;&#1100;&#1084;&#1072;&#1085;&#1058;&#1103;&#1096;&#1082;&#1077;&#1074;&#1080;&#1095;_75-80.pdf" TargetMode="External"/><Relationship Id="rId10" Type="http://schemas.openxmlformats.org/officeDocument/2006/relationships/hyperlink" Target="http://rnpcmt.belcmt.by/files/Site/Journal_2019/N_2/2_&#1053;&#1072;&#1091;&#1095;&#1085;&#1099;&#1077;_1_&#1057;&#1084;&#1099;&#1095;&#1105;&#1082;&#1041;&#1086;&#1075;&#1076;&#1072;&#1085;&#1086;&#1074;&#1080;&#1095;_35-44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npcmt.belcmt.by/files/Site/Journal_2019/N_2/1_&#1055;&#1088;&#1086;&#1073;&#1083;&#1077;&#1084;&#1085;&#1099;&#1077;_4_&#1041;&#1086;&#1081;&#1082;&#1086;&#1057;&#1091;&#1088;&#1084;&#1072;&#1095;_29-34.pdf" TargetMode="External"/><Relationship Id="rId14" Type="http://schemas.openxmlformats.org/officeDocument/2006/relationships/hyperlink" Target="http://rnpcmt.belcmt.by/files/Site/Journal_2019/N_2/2_&#1053;&#1072;&#1091;&#1095;&#1085;&#1099;&#1077;_5_&#1064;&#1080;&#1083;&#1086;&#1074;&#1072;_67-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Titul_2_19.pmd</vt:lpstr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Titul_2_19.pmd</dc:title>
  <dc:creator>JDegtiarevich</dc:creator>
  <cp:lastModifiedBy>JDegtiarevich</cp:lastModifiedBy>
  <cp:revision>14</cp:revision>
  <dcterms:created xsi:type="dcterms:W3CDTF">2019-08-05T11:50:00Z</dcterms:created>
  <dcterms:modified xsi:type="dcterms:W3CDTF">2019-08-06T14:35:00Z</dcterms:modified>
</cp:coreProperties>
</file>