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CE" w:rsidRPr="005661E7" w:rsidRDefault="001E4ACE" w:rsidP="001E4ACE">
      <w:pPr>
        <w:ind w:firstLine="709"/>
        <w:jc w:val="center"/>
      </w:pPr>
      <w:r w:rsidRPr="005661E7">
        <w:rPr>
          <w:rStyle w:val="180"/>
          <w:bCs w:val="0"/>
          <w:sz w:val="24"/>
          <w:szCs w:val="24"/>
          <w:lang w:val="ru-RU"/>
        </w:rPr>
        <w:t>А. И. КУБАРКО, П. М. ГУРИНОВИЧ, Ю. А. КУБАРКО</w:t>
      </w:r>
    </w:p>
    <w:p w:rsidR="001E4ACE" w:rsidRPr="001E4ACE" w:rsidRDefault="001E4ACE" w:rsidP="001E4ACE">
      <w:pPr>
        <w:keepNext/>
        <w:keepLines/>
        <w:ind w:firstLine="709"/>
        <w:jc w:val="center"/>
        <w:rPr>
          <w:rStyle w:val="20"/>
          <w:bCs w:val="0"/>
          <w:sz w:val="24"/>
          <w:szCs w:val="24"/>
        </w:rPr>
      </w:pPr>
      <w:bookmarkStart w:id="0" w:name="bookmark4"/>
      <w:r w:rsidRPr="001E4ACE">
        <w:rPr>
          <w:rStyle w:val="20"/>
          <w:bCs w:val="0"/>
          <w:sz w:val="24"/>
          <w:szCs w:val="24"/>
        </w:rPr>
        <w:t>ДИНАМИЧЕСКАЯ ОСТРОТА ЗРЕНИЯ: ИЗМЕРЕНИЕ, МЕХАНИЗМЫ,</w:t>
      </w:r>
    </w:p>
    <w:p w:rsidR="001E4ACE" w:rsidRPr="001E4ACE" w:rsidRDefault="001E4ACE" w:rsidP="001E4ACE">
      <w:pPr>
        <w:keepNext/>
        <w:keepLines/>
        <w:ind w:firstLine="709"/>
        <w:jc w:val="center"/>
        <w:rPr>
          <w:rStyle w:val="20"/>
          <w:bCs w:val="0"/>
          <w:sz w:val="24"/>
          <w:szCs w:val="24"/>
        </w:rPr>
      </w:pPr>
      <w:r w:rsidRPr="001E4ACE">
        <w:rPr>
          <w:rStyle w:val="20"/>
          <w:bCs w:val="0"/>
          <w:sz w:val="24"/>
          <w:szCs w:val="24"/>
        </w:rPr>
        <w:t>ДИАГНОСТИЧЕСКАЯ ЗНАЧИМОСТЬ И ПЕРСПЕКТИВЫ ПРАКТИЧЕСКОГО ИСПОЛЬЗОВАНИЯ</w:t>
      </w:r>
      <w:bookmarkEnd w:id="0"/>
    </w:p>
    <w:p w:rsidR="001E4ACE" w:rsidRDefault="001E4ACE" w:rsidP="001E4ACE">
      <w:pPr>
        <w:keepNext/>
        <w:keepLines/>
        <w:ind w:firstLine="709"/>
        <w:jc w:val="center"/>
        <w:rPr>
          <w:rStyle w:val="6"/>
          <w:sz w:val="24"/>
          <w:szCs w:val="24"/>
        </w:rPr>
      </w:pPr>
      <w:r>
        <w:rPr>
          <w:rStyle w:val="6"/>
          <w:sz w:val="24"/>
          <w:szCs w:val="24"/>
        </w:rPr>
        <w:t>Б</w:t>
      </w:r>
      <w:r w:rsidRPr="001E4ACE">
        <w:rPr>
          <w:rStyle w:val="6"/>
          <w:sz w:val="24"/>
          <w:szCs w:val="24"/>
        </w:rPr>
        <w:t>елорусский государственный медицинский университет, Минск, Беларусь</w:t>
      </w:r>
      <w:r>
        <w:rPr>
          <w:rStyle w:val="6"/>
          <w:sz w:val="24"/>
          <w:szCs w:val="24"/>
        </w:rPr>
        <w:t>,</w:t>
      </w:r>
    </w:p>
    <w:p w:rsidR="001E4ACE" w:rsidRDefault="001E4ACE" w:rsidP="001E4ACE">
      <w:pPr>
        <w:keepNext/>
        <w:keepLines/>
        <w:ind w:firstLine="709"/>
        <w:jc w:val="center"/>
        <w:rPr>
          <w:rStyle w:val="6"/>
          <w:sz w:val="24"/>
          <w:szCs w:val="24"/>
        </w:rPr>
      </w:pPr>
      <w:r w:rsidRPr="001E4ACE">
        <w:rPr>
          <w:rStyle w:val="6"/>
          <w:sz w:val="24"/>
          <w:szCs w:val="24"/>
        </w:rPr>
        <w:t>Московский физико-технический институт, Москва, Россия</w:t>
      </w:r>
      <w:r>
        <w:rPr>
          <w:rStyle w:val="6"/>
          <w:sz w:val="24"/>
          <w:szCs w:val="24"/>
        </w:rPr>
        <w:t>,</w:t>
      </w:r>
    </w:p>
    <w:p w:rsidR="001E4ACE" w:rsidRPr="001E4ACE" w:rsidRDefault="001E4ACE" w:rsidP="001E4ACE">
      <w:pPr>
        <w:keepNext/>
        <w:keepLines/>
        <w:ind w:firstLine="709"/>
        <w:jc w:val="center"/>
      </w:pPr>
      <w:r w:rsidRPr="001E4ACE">
        <w:rPr>
          <w:rStyle w:val="6"/>
          <w:sz w:val="24"/>
          <w:szCs w:val="24"/>
        </w:rPr>
        <w:t>Медицинский центр «ЛОДЭ», Минск, Беларусь</w:t>
      </w:r>
    </w:p>
    <w:p w:rsidR="001E4ACE" w:rsidRDefault="001E4ACE" w:rsidP="001E4ACE">
      <w:pPr>
        <w:ind w:firstLine="709"/>
        <w:jc w:val="both"/>
        <w:rPr>
          <w:rStyle w:val="170"/>
          <w:i w:val="0"/>
          <w:iCs w:val="0"/>
          <w:sz w:val="24"/>
          <w:szCs w:val="24"/>
          <w:lang w:val="ru-RU"/>
        </w:rPr>
      </w:pPr>
    </w:p>
    <w:p w:rsidR="001E4ACE" w:rsidRPr="001E4ACE" w:rsidRDefault="001E4ACE" w:rsidP="001E4ACE">
      <w:pPr>
        <w:ind w:firstLine="709"/>
        <w:jc w:val="both"/>
      </w:pPr>
      <w:r w:rsidRPr="001E4ACE">
        <w:rPr>
          <w:rStyle w:val="170"/>
          <w:i w:val="0"/>
          <w:iCs w:val="0"/>
          <w:sz w:val="24"/>
          <w:szCs w:val="24"/>
          <w:lang w:val="ru-RU"/>
        </w:rPr>
        <w:t>Описаны методы измерения динамической остроты зрения (ДОЗ), ее зависимости от размеров визуальных объектов. Приведены данные о зависимости ДОЗ от статической остроты зрения (СОЗ), от функционирова</w:t>
      </w:r>
      <w:r w:rsidRPr="001E4ACE">
        <w:rPr>
          <w:rStyle w:val="170"/>
          <w:i w:val="0"/>
          <w:iCs w:val="0"/>
          <w:sz w:val="24"/>
          <w:szCs w:val="24"/>
          <w:lang w:val="ru-RU"/>
        </w:rPr>
        <w:softHyphen/>
        <w:t>ния механизмов, проецирующих и удерживающих изображение на сетчатке, а также от скорости проведения и обработки визуальных сигналов в зрительных центрах мозга. На основании полученных результатов иссле</w:t>
      </w:r>
      <w:r w:rsidRPr="001E4ACE">
        <w:rPr>
          <w:rStyle w:val="170"/>
          <w:i w:val="0"/>
          <w:iCs w:val="0"/>
          <w:sz w:val="24"/>
          <w:szCs w:val="24"/>
          <w:lang w:val="ru-RU"/>
        </w:rPr>
        <w:softHyphen/>
        <w:t>дования и данных литературы, обсуждаются механизмы ДОЗ и причины их нарушений у пациентов с заболева</w:t>
      </w:r>
      <w:r w:rsidRPr="001E4ACE">
        <w:rPr>
          <w:rStyle w:val="170"/>
          <w:i w:val="0"/>
          <w:iCs w:val="0"/>
          <w:sz w:val="24"/>
          <w:szCs w:val="24"/>
          <w:lang w:val="ru-RU"/>
        </w:rPr>
        <w:softHyphen/>
        <w:t>ниями зрительной и нервной системы. Предложены подходы к стандартизации измерения ДОЗ.</w:t>
      </w:r>
    </w:p>
    <w:p w:rsidR="001E4ACE" w:rsidRPr="001E4ACE" w:rsidRDefault="001E4ACE" w:rsidP="001E4ACE">
      <w:pPr>
        <w:ind w:firstLine="709"/>
        <w:jc w:val="both"/>
      </w:pPr>
      <w:r w:rsidRPr="001E4ACE">
        <w:rPr>
          <w:rStyle w:val="171"/>
          <w:i w:val="0"/>
          <w:iCs w:val="0"/>
          <w:sz w:val="24"/>
          <w:szCs w:val="24"/>
        </w:rPr>
        <w:t>Ключевые слова</w:t>
      </w:r>
      <w:r w:rsidRPr="001E4ACE">
        <w:rPr>
          <w:rStyle w:val="170"/>
          <w:i w:val="0"/>
          <w:iCs w:val="0"/>
          <w:sz w:val="24"/>
          <w:szCs w:val="24"/>
          <w:lang w:val="ru-RU"/>
        </w:rPr>
        <w:t>: динамическая острота зрения, статическая острота зрения, зрительная система, цент</w:t>
      </w:r>
      <w:r w:rsidRPr="001E4ACE">
        <w:rPr>
          <w:rStyle w:val="170"/>
          <w:i w:val="0"/>
          <w:iCs w:val="0"/>
          <w:sz w:val="24"/>
          <w:szCs w:val="24"/>
          <w:lang w:val="ru-RU"/>
        </w:rPr>
        <w:softHyphen/>
        <w:t>ральная нервная система, механизмы ДОЗ, изменения ДОЗ, подходы к стандартизации измерения ДОЗ.</w:t>
      </w:r>
    </w:p>
    <w:p w:rsidR="001E4ACE" w:rsidRDefault="001E4ACE" w:rsidP="001E4ACE">
      <w:pPr>
        <w:ind w:firstLine="709"/>
        <w:jc w:val="both"/>
        <w:rPr>
          <w:rStyle w:val="180"/>
          <w:b w:val="0"/>
          <w:bCs w:val="0"/>
          <w:sz w:val="24"/>
          <w:szCs w:val="24"/>
          <w:lang w:val="ru-RU"/>
        </w:rPr>
      </w:pPr>
    </w:p>
    <w:p w:rsidR="001E4ACE" w:rsidRPr="001E4ACE" w:rsidRDefault="001E4ACE" w:rsidP="001E4ACE">
      <w:pPr>
        <w:ind w:firstLine="709"/>
        <w:jc w:val="center"/>
        <w:rPr>
          <w:lang w:val="en-US"/>
        </w:rPr>
      </w:pPr>
      <w:r w:rsidRPr="001E4ACE">
        <w:rPr>
          <w:rStyle w:val="180"/>
          <w:bCs w:val="0"/>
          <w:sz w:val="24"/>
          <w:szCs w:val="24"/>
        </w:rPr>
        <w:t>DYNAMIC VISUAL ACUITY: MEASUREMENT, MECHANISMS, DIAGNOSTIC IMPORTANCE AND PROSPECTS FOR PRACTICAL USE</w:t>
      </w:r>
    </w:p>
    <w:p w:rsidR="001E4ACE" w:rsidRPr="001E4ACE" w:rsidRDefault="005661E7" w:rsidP="001E4ACE">
      <w:pPr>
        <w:ind w:firstLine="709"/>
        <w:jc w:val="center"/>
        <w:rPr>
          <w:lang w:val="en-US"/>
        </w:rPr>
      </w:pPr>
      <w:r w:rsidRPr="001E4ACE">
        <w:rPr>
          <w:rStyle w:val="180"/>
          <w:bCs w:val="0"/>
          <w:sz w:val="24"/>
          <w:szCs w:val="24"/>
        </w:rPr>
        <w:t>A. I. KUBARKO, P. M. GURINOVICH, J. A. KUBARKO</w:t>
      </w:r>
    </w:p>
    <w:p w:rsidR="001E4ACE" w:rsidRPr="005661E7" w:rsidRDefault="001E4ACE" w:rsidP="001E4ACE">
      <w:pPr>
        <w:ind w:firstLine="709"/>
        <w:jc w:val="both"/>
        <w:rPr>
          <w:rStyle w:val="170"/>
          <w:i w:val="0"/>
          <w:iCs w:val="0"/>
          <w:sz w:val="24"/>
          <w:szCs w:val="24"/>
        </w:rPr>
      </w:pPr>
    </w:p>
    <w:p w:rsidR="001E4ACE" w:rsidRPr="001E4ACE" w:rsidRDefault="001E4ACE" w:rsidP="001E4ACE">
      <w:pPr>
        <w:ind w:firstLine="709"/>
        <w:jc w:val="both"/>
        <w:rPr>
          <w:lang w:val="en-US"/>
        </w:rPr>
      </w:pPr>
      <w:r w:rsidRPr="001E4ACE">
        <w:rPr>
          <w:rStyle w:val="170"/>
          <w:i w:val="0"/>
          <w:iCs w:val="0"/>
          <w:sz w:val="24"/>
          <w:szCs w:val="24"/>
        </w:rPr>
        <w:t xml:space="preserve">Different methods for measuring dynamic visual </w:t>
      </w:r>
      <w:proofErr w:type="gramStart"/>
      <w:r w:rsidRPr="001E4ACE">
        <w:rPr>
          <w:rStyle w:val="170"/>
          <w:i w:val="0"/>
          <w:iCs w:val="0"/>
          <w:sz w:val="24"/>
          <w:szCs w:val="24"/>
        </w:rPr>
        <w:t>acuity(</w:t>
      </w:r>
      <w:proofErr w:type="gramEnd"/>
      <w:r w:rsidRPr="001E4ACE">
        <w:rPr>
          <w:rStyle w:val="170"/>
          <w:i w:val="0"/>
          <w:iCs w:val="0"/>
          <w:sz w:val="24"/>
          <w:szCs w:val="24"/>
        </w:rPr>
        <w:t>DVA) and it dependence on the size of visual objects are described. The dependence DVA from static visual acuity (SVA), and the dependence DVA on the function of mechanisms that project the image and holding it on the retina, as well as on the processing speed of visual signals in the brain visual centers, are described. Based on the results of this study and literature data, the DVA mechanisms and reasons of its deteriorations in patients with diseases of visual and central nervous systems are discussed. Approaches to standardization of DVA measurement are proposed.</w:t>
      </w:r>
    </w:p>
    <w:p w:rsidR="001E4ACE" w:rsidRPr="001E4ACE" w:rsidRDefault="001E4ACE" w:rsidP="001E4ACE">
      <w:pPr>
        <w:ind w:firstLine="709"/>
        <w:jc w:val="both"/>
        <w:rPr>
          <w:lang w:val="en-US"/>
        </w:rPr>
      </w:pPr>
      <w:r w:rsidRPr="001E4ACE">
        <w:rPr>
          <w:rStyle w:val="171"/>
          <w:i w:val="0"/>
          <w:iCs w:val="0"/>
          <w:sz w:val="24"/>
          <w:szCs w:val="24"/>
          <w:lang w:val="en-US" w:eastAsia="en-US" w:bidi="en-US"/>
        </w:rPr>
        <w:t xml:space="preserve">Key words: </w:t>
      </w:r>
      <w:r w:rsidRPr="001E4ACE">
        <w:rPr>
          <w:rStyle w:val="170"/>
          <w:i w:val="0"/>
          <w:iCs w:val="0"/>
          <w:sz w:val="24"/>
          <w:szCs w:val="24"/>
        </w:rPr>
        <w:t>dynamic visual acuity, static visual acuity, visual system, al nervous system, mechanisms of DVA, change of DVA, approaches to standardization of DVA measurement.</w:t>
      </w:r>
    </w:p>
    <w:p w:rsidR="001E4ACE" w:rsidRPr="001E4ACE" w:rsidRDefault="001E4ACE">
      <w:pPr>
        <w:ind w:firstLine="709"/>
        <w:jc w:val="both"/>
        <w:rPr>
          <w:lang w:val="en-US"/>
        </w:rPr>
      </w:pPr>
    </w:p>
    <w:sectPr w:rsidR="001E4ACE" w:rsidRPr="001E4ACE" w:rsidSect="00551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E4ACE"/>
    <w:rsid w:val="00062D1C"/>
    <w:rsid w:val="000920A1"/>
    <w:rsid w:val="00094865"/>
    <w:rsid w:val="000B1AB4"/>
    <w:rsid w:val="000D2E7A"/>
    <w:rsid w:val="000E7F29"/>
    <w:rsid w:val="0011535A"/>
    <w:rsid w:val="001256F3"/>
    <w:rsid w:val="00174017"/>
    <w:rsid w:val="001E4ACE"/>
    <w:rsid w:val="001F453E"/>
    <w:rsid w:val="00294A85"/>
    <w:rsid w:val="002C31C5"/>
    <w:rsid w:val="002D665C"/>
    <w:rsid w:val="00326FA8"/>
    <w:rsid w:val="003B7490"/>
    <w:rsid w:val="003F147B"/>
    <w:rsid w:val="00441D2B"/>
    <w:rsid w:val="004A4994"/>
    <w:rsid w:val="00543E8C"/>
    <w:rsid w:val="0055128D"/>
    <w:rsid w:val="005661E7"/>
    <w:rsid w:val="005B0A20"/>
    <w:rsid w:val="005C6F6F"/>
    <w:rsid w:val="00692CA9"/>
    <w:rsid w:val="006C68D6"/>
    <w:rsid w:val="0072374F"/>
    <w:rsid w:val="00820EB8"/>
    <w:rsid w:val="008717F6"/>
    <w:rsid w:val="00884198"/>
    <w:rsid w:val="009028B8"/>
    <w:rsid w:val="00955ACF"/>
    <w:rsid w:val="00967EFC"/>
    <w:rsid w:val="00982A96"/>
    <w:rsid w:val="009A19AC"/>
    <w:rsid w:val="009A6B9E"/>
    <w:rsid w:val="009B47FD"/>
    <w:rsid w:val="00AA274B"/>
    <w:rsid w:val="00B33DB8"/>
    <w:rsid w:val="00B65EBC"/>
    <w:rsid w:val="00BB0FBC"/>
    <w:rsid w:val="00C41708"/>
    <w:rsid w:val="00C650D3"/>
    <w:rsid w:val="00CB7B7B"/>
    <w:rsid w:val="00E46F33"/>
    <w:rsid w:val="00E708B0"/>
    <w:rsid w:val="00F05776"/>
    <w:rsid w:val="00FE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4ACE"/>
    <w:pPr>
      <w:widowControl w:val="0"/>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1E4ACE"/>
    <w:rPr>
      <w:rFonts w:ascii="Arial" w:eastAsia="Arial" w:hAnsi="Arial" w:cs="Arial"/>
      <w:b w:val="0"/>
      <w:bCs w:val="0"/>
      <w:i w:val="0"/>
      <w:iCs w:val="0"/>
      <w:smallCaps w:val="0"/>
      <w:strike w:val="0"/>
      <w:color w:val="231F20"/>
      <w:spacing w:val="0"/>
      <w:w w:val="100"/>
      <w:position w:val="0"/>
      <w:sz w:val="19"/>
      <w:szCs w:val="19"/>
      <w:u w:val="none"/>
      <w:lang w:val="ru-RU" w:eastAsia="ru-RU" w:bidi="ru-RU"/>
    </w:rPr>
  </w:style>
  <w:style w:type="character" w:customStyle="1" w:styleId="2">
    <w:name w:val="Заголовок №2_"/>
    <w:basedOn w:val="a0"/>
    <w:rsid w:val="001E4ACE"/>
    <w:rPr>
      <w:rFonts w:ascii="Arial" w:eastAsia="Arial" w:hAnsi="Arial" w:cs="Arial"/>
      <w:b/>
      <w:bCs/>
      <w:i w:val="0"/>
      <w:iCs w:val="0"/>
      <w:smallCaps w:val="0"/>
      <w:strike w:val="0"/>
      <w:sz w:val="22"/>
      <w:szCs w:val="22"/>
      <w:u w:val="none"/>
    </w:rPr>
  </w:style>
  <w:style w:type="character" w:customStyle="1" w:styleId="20">
    <w:name w:val="Заголовок №2"/>
    <w:basedOn w:val="2"/>
    <w:rsid w:val="001E4ACE"/>
    <w:rPr>
      <w:color w:val="231F20"/>
      <w:spacing w:val="0"/>
      <w:w w:val="100"/>
      <w:position w:val="0"/>
      <w:lang w:val="ru-RU" w:eastAsia="ru-RU" w:bidi="ru-RU"/>
    </w:rPr>
  </w:style>
  <w:style w:type="character" w:customStyle="1" w:styleId="17">
    <w:name w:val="Основной текст (17)_"/>
    <w:basedOn w:val="a0"/>
    <w:rsid w:val="001E4ACE"/>
    <w:rPr>
      <w:rFonts w:ascii="Arial" w:eastAsia="Arial" w:hAnsi="Arial" w:cs="Arial"/>
      <w:b w:val="0"/>
      <w:bCs w:val="0"/>
      <w:i/>
      <w:iCs/>
      <w:smallCaps w:val="0"/>
      <w:strike w:val="0"/>
      <w:sz w:val="17"/>
      <w:szCs w:val="17"/>
      <w:u w:val="none"/>
      <w:lang w:val="en-US" w:eastAsia="en-US" w:bidi="en-US"/>
    </w:rPr>
  </w:style>
  <w:style w:type="character" w:customStyle="1" w:styleId="170">
    <w:name w:val="Основной текст (17)"/>
    <w:basedOn w:val="17"/>
    <w:rsid w:val="001E4ACE"/>
    <w:rPr>
      <w:color w:val="231F20"/>
      <w:spacing w:val="0"/>
      <w:w w:val="100"/>
      <w:position w:val="0"/>
    </w:rPr>
  </w:style>
  <w:style w:type="character" w:customStyle="1" w:styleId="18">
    <w:name w:val="Основной текст (18)_"/>
    <w:basedOn w:val="a0"/>
    <w:rsid w:val="001E4ACE"/>
    <w:rPr>
      <w:rFonts w:ascii="Arial" w:eastAsia="Arial" w:hAnsi="Arial" w:cs="Arial"/>
      <w:b/>
      <w:bCs/>
      <w:i w:val="0"/>
      <w:iCs w:val="0"/>
      <w:smallCaps w:val="0"/>
      <w:strike w:val="0"/>
      <w:sz w:val="17"/>
      <w:szCs w:val="17"/>
      <w:u w:val="none"/>
      <w:lang w:val="en-US" w:eastAsia="en-US" w:bidi="en-US"/>
    </w:rPr>
  </w:style>
  <w:style w:type="character" w:customStyle="1" w:styleId="180">
    <w:name w:val="Основной текст (18)"/>
    <w:basedOn w:val="18"/>
    <w:rsid w:val="001E4ACE"/>
    <w:rPr>
      <w:color w:val="231F20"/>
      <w:spacing w:val="0"/>
      <w:w w:val="100"/>
      <w:position w:val="0"/>
    </w:rPr>
  </w:style>
  <w:style w:type="character" w:customStyle="1" w:styleId="171">
    <w:name w:val="Основной текст (17) + Полужирный"/>
    <w:basedOn w:val="17"/>
    <w:rsid w:val="001E4ACE"/>
    <w:rPr>
      <w:b/>
      <w:bCs/>
      <w:color w:val="231F2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2024-07-24T07:42:00Z</dcterms:created>
  <dcterms:modified xsi:type="dcterms:W3CDTF">2024-07-24T12:02:00Z</dcterms:modified>
</cp:coreProperties>
</file>